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334497" w:rsidRPr="00AC2B6B" w:rsidP="00373474">
      <w:pPr>
        <w:pStyle w:val="Domylnie"/>
        <w:tabs>
          <w:tab w:val="left" w:pos="5670"/>
          <w:tab w:val="left" w:pos="6237"/>
          <w:tab w:val="right" w:pos="8929"/>
        </w:tabs>
        <w:spacing w:before="240"/>
        <w:ind w:left="6379" w:right="-286"/>
        <w:rPr>
          <w:sz w:val="22"/>
          <w:szCs w:val="22"/>
        </w:rPr>
      </w:pPr>
      <w:r w:rsidRPr="00AC2B6B">
        <w:rPr>
          <w:sz w:val="22"/>
          <w:szCs w:val="22"/>
        </w:rPr>
        <w:t>IFXIII.747.</w:t>
      </w:r>
      <w:r w:rsidRPr="00AC2B6B" w:rsidR="004100C2">
        <w:rPr>
          <w:sz w:val="22"/>
          <w:szCs w:val="22"/>
        </w:rPr>
        <w:t>22.2024</w:t>
      </w:r>
    </w:p>
    <w:p w:rsidR="00590F64" w:rsidRPr="00AC2B6B" w:rsidP="00FC2171">
      <w:pPr>
        <w:spacing w:after="0" w:line="240" w:lineRule="auto"/>
        <w:ind w:left="-284" w:right="-286"/>
        <w:jc w:val="center"/>
        <w:rPr>
          <w:rFonts w:ascii="Times New Roman" w:hAnsi="Times New Roman" w:cs="Times New Roman"/>
          <w:b/>
          <w:bCs/>
        </w:rPr>
      </w:pPr>
      <w:r w:rsidRPr="00AC2B6B">
        <w:rPr>
          <w:rFonts w:ascii="Times New Roman" w:hAnsi="Times New Roman" w:cs="Times New Roman"/>
          <w:b/>
          <w:bCs/>
        </w:rPr>
        <w:t>OBWIESZCZENIE</w:t>
      </w:r>
    </w:p>
    <w:p w:rsidR="00373474" w:rsidRPr="00E04976" w:rsidP="00FC2171">
      <w:pPr>
        <w:spacing w:after="0" w:line="240" w:lineRule="auto"/>
        <w:ind w:left="-284" w:right="-286"/>
        <w:jc w:val="center"/>
        <w:rPr>
          <w:rFonts w:ascii="Times New Roman" w:hAnsi="Times New Roman" w:cs="Times New Roman"/>
          <w:b/>
          <w:bCs/>
        </w:rPr>
      </w:pPr>
    </w:p>
    <w:p w:rsidR="00373474" w:rsidRPr="00AC2B6B" w:rsidP="00373474">
      <w:pPr>
        <w:spacing w:line="240" w:lineRule="auto"/>
        <w:ind w:left="-284" w:right="-286"/>
        <w:jc w:val="both"/>
        <w:rPr>
          <w:rFonts w:ascii="Times New Roman" w:hAnsi="Times New Roman" w:cs="Times New Roman"/>
          <w:sz w:val="20"/>
          <w:szCs w:val="20"/>
        </w:rPr>
      </w:pPr>
      <w:r w:rsidRPr="00AC2B6B">
        <w:rPr>
          <w:rFonts w:ascii="Times New Roman" w:hAnsi="Times New Roman" w:cs="Times New Roman"/>
          <w:sz w:val="20"/>
          <w:szCs w:val="20"/>
        </w:rPr>
        <w:t>Na podstawie art. 10 ust. 1 ustawy z dnia 24 lipca 2015 r. o przygotowaniu i realizacji strategicznych inwestycji</w:t>
      </w:r>
      <w:r w:rsidRPr="00AC2B6B" w:rsidR="00814B54">
        <w:rPr>
          <w:rFonts w:ascii="Times New Roman" w:hAnsi="Times New Roman" w:cs="Times New Roman"/>
          <w:sz w:val="20"/>
          <w:szCs w:val="20"/>
        </w:rPr>
        <w:t xml:space="preserve"> w zakresie sieci przesyłowych </w:t>
      </w:r>
      <w:r w:rsidRPr="00AC2B6B" w:rsidR="00814B54">
        <w:rPr>
          <w:rFonts w:ascii="Times New Roman" w:hAnsi="Times New Roman"/>
          <w:sz w:val="20"/>
          <w:szCs w:val="20"/>
        </w:rPr>
        <w:t xml:space="preserve">(tekst jednolity: Dz. U. z 2024 r. poz. </w:t>
      </w:r>
      <w:r w:rsidRPr="00AC2B6B" w:rsidR="00170EEF">
        <w:rPr>
          <w:rFonts w:ascii="Times New Roman" w:hAnsi="Times New Roman"/>
          <w:sz w:val="20"/>
          <w:szCs w:val="20"/>
        </w:rPr>
        <w:t>1199</w:t>
      </w:r>
      <w:r w:rsidRPr="00AC2B6B">
        <w:rPr>
          <w:rFonts w:ascii="Times New Roman" w:hAnsi="Times New Roman" w:cs="Times New Roman"/>
          <w:sz w:val="20"/>
          <w:szCs w:val="20"/>
        </w:rPr>
        <w:t xml:space="preserve">), zwanej dalej </w:t>
      </w:r>
      <w:r w:rsidRPr="00AC2B6B">
        <w:rPr>
          <w:rFonts w:ascii="Times New Roman" w:hAnsi="Times New Roman" w:cs="Times New Roman"/>
          <w:i/>
          <w:sz w:val="20"/>
          <w:szCs w:val="20"/>
        </w:rPr>
        <w:t>specustawą przesyłową</w:t>
      </w:r>
      <w:r w:rsidRPr="00AC2B6B">
        <w:rPr>
          <w:rFonts w:ascii="Times New Roman" w:hAnsi="Times New Roman" w:cs="Times New Roman"/>
          <w:sz w:val="20"/>
          <w:szCs w:val="20"/>
        </w:rPr>
        <w:t xml:space="preserve">; art. 49 ustawy </w:t>
      </w:r>
      <w:r w:rsidR="00E20C75">
        <w:rPr>
          <w:rFonts w:ascii="Times New Roman" w:hAnsi="Times New Roman" w:cs="Times New Roman"/>
          <w:sz w:val="20"/>
          <w:szCs w:val="20"/>
        </w:rPr>
        <w:br/>
      </w:r>
      <w:r w:rsidRPr="00AC2B6B">
        <w:rPr>
          <w:rFonts w:ascii="Times New Roman" w:hAnsi="Times New Roman" w:cs="Times New Roman"/>
          <w:sz w:val="20"/>
          <w:szCs w:val="20"/>
        </w:rPr>
        <w:t>z dnia 14 czerwca 1960 r. – Kodeks postępowania administracyjnego (tekst jednolity: Dz. U. 202</w:t>
      </w:r>
      <w:r w:rsidRPr="00AC2B6B" w:rsidR="00814B54">
        <w:rPr>
          <w:rFonts w:ascii="Times New Roman" w:hAnsi="Times New Roman" w:cs="Times New Roman"/>
          <w:sz w:val="20"/>
          <w:szCs w:val="20"/>
        </w:rPr>
        <w:t>4</w:t>
      </w:r>
      <w:r w:rsidRPr="00AC2B6B">
        <w:rPr>
          <w:rFonts w:ascii="Times New Roman" w:hAnsi="Times New Roman" w:cs="Times New Roman"/>
          <w:sz w:val="20"/>
          <w:szCs w:val="20"/>
        </w:rPr>
        <w:t xml:space="preserve"> r. poz. </w:t>
      </w:r>
      <w:r w:rsidRPr="00AC2B6B" w:rsidR="00814B54">
        <w:rPr>
          <w:rFonts w:ascii="Times New Roman" w:hAnsi="Times New Roman" w:cs="Times New Roman"/>
          <w:sz w:val="20"/>
          <w:szCs w:val="20"/>
        </w:rPr>
        <w:t>572</w:t>
      </w:r>
      <w:r w:rsidRPr="00AC2B6B">
        <w:rPr>
          <w:rFonts w:ascii="Times New Roman" w:hAnsi="Times New Roman" w:cs="Times New Roman"/>
          <w:sz w:val="20"/>
          <w:szCs w:val="20"/>
        </w:rPr>
        <w:t xml:space="preserve">), zwanej dalej k.p.a., podaję do publicznej wiadomości, że po rozpatrzeniu wniosku Polskich Sieci </w:t>
      </w:r>
      <w:r w:rsidRPr="00AC2B6B" w:rsidR="00170EEF">
        <w:rPr>
          <w:rFonts w:ascii="Times New Roman" w:hAnsi="Times New Roman" w:cs="Times New Roman"/>
          <w:sz w:val="20"/>
          <w:szCs w:val="20"/>
        </w:rPr>
        <w:t>Elektroenergetyczn</w:t>
      </w:r>
      <w:r w:rsidRPr="00AC2B6B" w:rsidR="00D20D38">
        <w:rPr>
          <w:rFonts w:ascii="Times New Roman" w:hAnsi="Times New Roman" w:cs="Times New Roman"/>
          <w:sz w:val="20"/>
          <w:szCs w:val="20"/>
        </w:rPr>
        <w:t>ych</w:t>
      </w:r>
      <w:r w:rsidRPr="00AC2B6B">
        <w:rPr>
          <w:rFonts w:ascii="Times New Roman" w:hAnsi="Times New Roman" w:cs="Times New Roman"/>
          <w:sz w:val="20"/>
          <w:szCs w:val="20"/>
        </w:rPr>
        <w:t xml:space="preserve"> S.A., działającej przez pełnomocnika, Wojewoda Śląski w dniu </w:t>
      </w:r>
      <w:r w:rsidRPr="00AC2B6B" w:rsidR="004100C2">
        <w:rPr>
          <w:rFonts w:ascii="Times New Roman" w:hAnsi="Times New Roman" w:cs="Times New Roman"/>
          <w:sz w:val="20"/>
          <w:szCs w:val="20"/>
        </w:rPr>
        <w:t>19 lipca 2024</w:t>
      </w:r>
      <w:r w:rsidRPr="00AC2B6B">
        <w:rPr>
          <w:rFonts w:ascii="Times New Roman" w:hAnsi="Times New Roman" w:cs="Times New Roman"/>
          <w:sz w:val="20"/>
          <w:szCs w:val="20"/>
        </w:rPr>
        <w:t xml:space="preserve"> r. wydał decyzję nr </w:t>
      </w:r>
      <w:r w:rsidRPr="00AC2B6B" w:rsidR="004100C2">
        <w:rPr>
          <w:rFonts w:ascii="Times New Roman" w:hAnsi="Times New Roman" w:cs="Times New Roman"/>
          <w:sz w:val="20"/>
          <w:szCs w:val="20"/>
        </w:rPr>
        <w:t>3</w:t>
      </w:r>
      <w:r w:rsidRPr="00AC2B6B">
        <w:rPr>
          <w:rFonts w:ascii="Times New Roman" w:hAnsi="Times New Roman" w:cs="Times New Roman"/>
          <w:sz w:val="20"/>
          <w:szCs w:val="20"/>
        </w:rPr>
        <w:t>/202</w:t>
      </w:r>
      <w:r w:rsidRPr="00AC2B6B" w:rsidR="004100C2">
        <w:rPr>
          <w:rFonts w:ascii="Times New Roman" w:hAnsi="Times New Roman" w:cs="Times New Roman"/>
          <w:sz w:val="20"/>
          <w:szCs w:val="20"/>
        </w:rPr>
        <w:t>4/P</w:t>
      </w:r>
      <w:r w:rsidRPr="00AC2B6B">
        <w:rPr>
          <w:rFonts w:ascii="Times New Roman" w:hAnsi="Times New Roman" w:cs="Times New Roman"/>
          <w:sz w:val="20"/>
          <w:szCs w:val="20"/>
        </w:rPr>
        <w:t>, znak sprawy: IFXIII.747.</w:t>
      </w:r>
      <w:r w:rsidRPr="00AC2B6B" w:rsidR="004100C2">
        <w:rPr>
          <w:rFonts w:ascii="Times New Roman" w:hAnsi="Times New Roman" w:cs="Times New Roman"/>
          <w:sz w:val="20"/>
          <w:szCs w:val="20"/>
        </w:rPr>
        <w:t>22.2024</w:t>
      </w:r>
      <w:r w:rsidRPr="00AC2B6B">
        <w:rPr>
          <w:rFonts w:ascii="Times New Roman" w:hAnsi="Times New Roman" w:cs="Times New Roman"/>
          <w:sz w:val="20"/>
          <w:szCs w:val="20"/>
        </w:rPr>
        <w:t xml:space="preserve"> o ustaleniu lokalizacji strategicznej inwestycji w zakresie sieci przesyłowej dla zadania pn.</w:t>
      </w:r>
      <w:r w:rsidRPr="00AC2B6B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</w:p>
    <w:p w:rsidR="00170EEF" w:rsidRPr="00AC2B6B" w:rsidP="00170EEF">
      <w:pPr>
        <w:pStyle w:val="BodyText"/>
        <w:spacing w:before="60" w:line="276" w:lineRule="auto"/>
        <w:jc w:val="center"/>
        <w:rPr>
          <w:rFonts w:ascii="Times New Roman" w:eastAsia="Calibri" w:hAnsi="Times New Roman"/>
          <w:b/>
          <w:sz w:val="20"/>
          <w:szCs w:val="20"/>
        </w:rPr>
      </w:pPr>
      <w:r w:rsidRPr="00AC2B6B">
        <w:rPr>
          <w:rFonts w:ascii="Times New Roman" w:eastAsia="Calibri" w:hAnsi="Times New Roman"/>
          <w:b/>
          <w:sz w:val="20"/>
          <w:szCs w:val="20"/>
        </w:rPr>
        <w:t xml:space="preserve">„Modernizacja odcinka linii elektroenergetycznej 400 </w:t>
      </w:r>
      <w:r w:rsidRPr="00AC2B6B">
        <w:rPr>
          <w:rFonts w:ascii="Times New Roman" w:eastAsia="Calibri" w:hAnsi="Times New Roman"/>
          <w:b/>
          <w:sz w:val="20"/>
          <w:szCs w:val="20"/>
        </w:rPr>
        <w:t>kV</w:t>
      </w:r>
      <w:r w:rsidRPr="00AC2B6B">
        <w:rPr>
          <w:rFonts w:ascii="Times New Roman" w:eastAsia="Calibri" w:hAnsi="Times New Roman"/>
          <w:b/>
          <w:sz w:val="20"/>
          <w:szCs w:val="20"/>
        </w:rPr>
        <w:t xml:space="preserve"> relacji Trębaczew-Dobrzeń/Joachimów, od SE Trębaczew do słupa nr 183, obejmującej przebudowę (rozbiórkę i budowę) obiektów z nią kolidujących, w postaci linii elektroenergetycznej 15 </w:t>
      </w:r>
      <w:r w:rsidRPr="00AC2B6B">
        <w:rPr>
          <w:rFonts w:ascii="Times New Roman" w:eastAsia="Calibri" w:hAnsi="Times New Roman"/>
          <w:b/>
          <w:sz w:val="20"/>
          <w:szCs w:val="20"/>
        </w:rPr>
        <w:t>kV</w:t>
      </w:r>
      <w:r w:rsidRPr="00AC2B6B">
        <w:rPr>
          <w:rFonts w:ascii="Times New Roman" w:eastAsia="Calibri" w:hAnsi="Times New Roman"/>
          <w:b/>
          <w:sz w:val="20"/>
          <w:szCs w:val="20"/>
        </w:rPr>
        <w:t>”,</w:t>
      </w:r>
    </w:p>
    <w:p w:rsidR="00170EEF" w:rsidRPr="00AC2B6B" w:rsidP="00AC2B6B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</w:pPr>
      <w:r w:rsidRPr="00AC2B6B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w zakresie ograniczenia w korzystaniu z nieruchomości oznaczonej jako działka:</w:t>
      </w:r>
    </w:p>
    <w:p w:rsidR="00170EEF" w:rsidRPr="00AC2B6B" w:rsidP="00D20D38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</w:pPr>
      <w:r w:rsidRPr="00AC2B6B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- nr 1448 obręb 0005 Miedźno, gmina Miedźno, powiat kłobucki.</w:t>
      </w:r>
    </w:p>
    <w:p w:rsidR="00796DCA" w:rsidRPr="00AC2B6B" w:rsidP="00AC2B6B">
      <w:pPr>
        <w:pStyle w:val="BodyText"/>
        <w:spacing w:before="60"/>
        <w:rPr>
          <w:rFonts w:ascii="Times New Roman" w:eastAsia="Calibri" w:hAnsi="Times New Roman"/>
          <w:b/>
          <w:color w:val="000000" w:themeColor="text1"/>
          <w:sz w:val="20"/>
          <w:szCs w:val="20"/>
        </w:rPr>
      </w:pPr>
      <w:r w:rsidRPr="00AC2B6B">
        <w:rPr>
          <w:rFonts w:ascii="Times New Roman" w:eastAsia="Calibri" w:hAnsi="Times New Roman"/>
          <w:b/>
          <w:color w:val="000000" w:themeColor="text1"/>
          <w:sz w:val="20"/>
          <w:szCs w:val="20"/>
        </w:rPr>
        <w:t>Decyzja podlega natychmiastowemu wykonaniu.</w:t>
      </w:r>
    </w:p>
    <w:p w:rsidR="00796DCA" w:rsidRPr="00AC2B6B" w:rsidP="00AC2B6B">
      <w:pPr>
        <w:pStyle w:val="BodyText"/>
        <w:spacing w:before="60"/>
        <w:rPr>
          <w:rFonts w:ascii="Times New Roman" w:eastAsia="Calibri" w:hAnsi="Times New Roman"/>
          <w:b/>
          <w:color w:val="000000" w:themeColor="text1"/>
          <w:sz w:val="20"/>
          <w:szCs w:val="20"/>
        </w:rPr>
      </w:pPr>
      <w:r w:rsidRPr="00AC2B6B">
        <w:rPr>
          <w:rFonts w:ascii="Times New Roman" w:eastAsia="Calibri" w:hAnsi="Times New Roman"/>
          <w:b/>
          <w:color w:val="000000" w:themeColor="text1"/>
          <w:sz w:val="20"/>
          <w:szCs w:val="20"/>
        </w:rPr>
        <w:t xml:space="preserve">Decyzją zostały określone granice terenu objętego wnioskiem. </w:t>
      </w:r>
    </w:p>
    <w:p w:rsidR="00E35DEE" w:rsidRPr="00AC2B6B" w:rsidP="00E20C75">
      <w:pPr>
        <w:pStyle w:val="BodyText"/>
        <w:spacing w:before="60"/>
        <w:jc w:val="both"/>
        <w:rPr>
          <w:rFonts w:ascii="Times New Roman" w:eastAsia="Calibri" w:hAnsi="Times New Roman"/>
          <w:b/>
          <w:color w:val="000000" w:themeColor="text1"/>
          <w:sz w:val="20"/>
          <w:szCs w:val="20"/>
        </w:rPr>
      </w:pPr>
      <w:r w:rsidRPr="00AC2B6B">
        <w:rPr>
          <w:rFonts w:ascii="Times New Roman" w:eastAsia="Calibri" w:hAnsi="Times New Roman"/>
          <w:b/>
          <w:color w:val="000000" w:themeColor="text1"/>
          <w:sz w:val="20"/>
          <w:szCs w:val="20"/>
        </w:rPr>
        <w:t>Decyzją został określony okres na jaki ma nast</w:t>
      </w:r>
      <w:r w:rsidRPr="00AC2B6B" w:rsidR="001244F9">
        <w:rPr>
          <w:rFonts w:ascii="Times New Roman" w:eastAsia="Calibri" w:hAnsi="Times New Roman"/>
          <w:b/>
          <w:color w:val="000000" w:themeColor="text1"/>
          <w:sz w:val="20"/>
          <w:szCs w:val="20"/>
        </w:rPr>
        <w:t xml:space="preserve">ąpić ograniczenie w korzystaniu z nieruchomości na obszarze wyznaczonym na mapie stanowiącej załącznik nr 1 do decyzji </w:t>
      </w:r>
      <w:r w:rsidRPr="00AC2B6B" w:rsidR="001244F9">
        <w:rPr>
          <w:rFonts w:ascii="Times New Roman" w:hAnsi="Times New Roman"/>
          <w:b/>
          <w:color w:val="000000" w:themeColor="text1"/>
          <w:sz w:val="20"/>
          <w:szCs w:val="20"/>
        </w:rPr>
        <w:t>w celu zapewnienia prawa do wejścia na teren nieruchomości dla prowadzenia na niej budowy inwestycji w zakresie sieci przesyłowej, a także prac związanych z rozbiórką, przebudową, zmianą sposobu użytkowania, utrzymaniem, eksploatacją, użytkowaniem, remontami oraz usuwaniem awarii, dotyczących strategicznej inwestycji w zakresie sieci przesyłowej.</w:t>
      </w:r>
    </w:p>
    <w:p w:rsidR="00D76999" w:rsidRPr="00D76999" w:rsidP="00D76999">
      <w:pPr>
        <w:tabs>
          <w:tab w:val="left" w:pos="708"/>
        </w:tabs>
        <w:suppressAutoHyphens/>
        <w:spacing w:after="0" w:line="276" w:lineRule="auto"/>
        <w:jc w:val="center"/>
        <w:rPr>
          <w:rFonts w:ascii="Times New Roman" w:eastAsia="Times New Roman" w:hAnsi="Times New Roman" w:cs="Tahoma"/>
          <w:b/>
          <w:bCs/>
          <w:szCs w:val="17"/>
        </w:rPr>
      </w:pPr>
      <w:r w:rsidRPr="00D76999">
        <w:rPr>
          <w:rFonts w:ascii="Times New Roman" w:eastAsia="Times New Roman" w:hAnsi="Times New Roman" w:cs="Tahoma"/>
          <w:b/>
          <w:bCs/>
          <w:szCs w:val="17"/>
        </w:rPr>
        <w:t>POUCZENIE</w:t>
      </w:r>
    </w:p>
    <w:p w:rsidR="00D76999" w:rsidRPr="00D20D38" w:rsidP="00D76999">
      <w:pPr>
        <w:numPr>
          <w:ilvl w:val="0"/>
          <w:numId w:val="15"/>
        </w:numPr>
        <w:tabs>
          <w:tab w:val="left" w:pos="708"/>
        </w:tabs>
        <w:spacing w:before="120" w:after="0" w:line="276" w:lineRule="auto"/>
        <w:ind w:left="284" w:hanging="284"/>
        <w:jc w:val="both"/>
        <w:rPr>
          <w:rFonts w:ascii="Times New Roman" w:eastAsia="Times New Roman" w:hAnsi="Times New Roman"/>
          <w:sz w:val="20"/>
          <w:szCs w:val="20"/>
          <w:lang w:eastAsia="en-US"/>
        </w:rPr>
      </w:pPr>
      <w:r w:rsidRPr="00D20D38">
        <w:rPr>
          <w:rFonts w:ascii="Times New Roman" w:eastAsia="Times New Roman" w:hAnsi="Times New Roman"/>
          <w:sz w:val="20"/>
          <w:szCs w:val="20"/>
          <w:lang w:eastAsia="en-US"/>
        </w:rPr>
        <w:t xml:space="preserve">Strony postępowania mogą zapoznać się z treścią ww. decyzji oraz </w:t>
      </w:r>
      <w:r w:rsidRPr="00D20D38">
        <w:rPr>
          <w:rFonts w:ascii="Times New Roman" w:hAnsi="Times New Roman" w:eastAsiaTheme="minorHAnsi"/>
          <w:sz w:val="20"/>
          <w:szCs w:val="20"/>
          <w:lang w:eastAsia="en-US"/>
        </w:rPr>
        <w:t>z aktami sprawy</w:t>
      </w:r>
      <w:r w:rsidRPr="00D20D38">
        <w:rPr>
          <w:rFonts w:ascii="Times New Roman" w:eastAsia="Times New Roman" w:hAnsi="Times New Roman"/>
          <w:sz w:val="20"/>
          <w:szCs w:val="20"/>
          <w:lang w:eastAsia="en-US"/>
        </w:rPr>
        <w:t xml:space="preserve"> </w:t>
      </w:r>
      <w:r w:rsidRPr="00D20D38">
        <w:rPr>
          <w:rFonts w:ascii="Times New Roman" w:hAnsi="Times New Roman" w:eastAsiaTheme="minorHAnsi"/>
          <w:sz w:val="20"/>
          <w:szCs w:val="20"/>
          <w:lang w:eastAsia="en-US"/>
        </w:rPr>
        <w:t xml:space="preserve">po uprzednim uzgodnieniu telefonicznym z inspektorem prowadzącym sprawę w </w:t>
      </w:r>
      <w:r w:rsidRPr="00D20D38">
        <w:rPr>
          <w:rFonts w:ascii="Times New Roman" w:eastAsia="Times New Roman" w:hAnsi="Times New Roman"/>
          <w:sz w:val="20"/>
          <w:szCs w:val="20"/>
          <w:lang w:eastAsia="en-US"/>
        </w:rPr>
        <w:t>Wydziale Infrastruktury Ś</w:t>
      </w:r>
      <w:r w:rsidRPr="00D20D38" w:rsidR="00AA0778">
        <w:rPr>
          <w:rFonts w:ascii="Times New Roman" w:eastAsia="Times New Roman" w:hAnsi="Times New Roman"/>
          <w:sz w:val="20"/>
          <w:szCs w:val="20"/>
          <w:lang w:eastAsia="en-US"/>
        </w:rPr>
        <w:t xml:space="preserve">ląskiego Urzędu Wojewódzkiego w </w:t>
      </w:r>
      <w:r w:rsidRPr="00D20D38">
        <w:rPr>
          <w:rFonts w:ascii="Times New Roman" w:eastAsia="Times New Roman" w:hAnsi="Times New Roman"/>
          <w:sz w:val="20"/>
          <w:szCs w:val="20"/>
          <w:lang w:eastAsia="en-US"/>
        </w:rPr>
        <w:t>Katowicach, ul. Jagiellońska 25, pok. 522, tel. (032) 20 77 522, w godzinach od 9ºº - 14ºº.</w:t>
      </w:r>
    </w:p>
    <w:p w:rsidR="00D76999" w:rsidRPr="00D20D38" w:rsidP="00D76999">
      <w:pPr>
        <w:numPr>
          <w:ilvl w:val="0"/>
          <w:numId w:val="15"/>
        </w:numPr>
        <w:tabs>
          <w:tab w:val="left" w:pos="708"/>
        </w:tabs>
        <w:spacing w:after="0" w:line="276" w:lineRule="auto"/>
        <w:ind w:left="284" w:right="-2" w:hanging="284"/>
        <w:jc w:val="both"/>
        <w:rPr>
          <w:rFonts w:ascii="Times New Roman" w:eastAsia="Times New Roman" w:hAnsi="Times New Roman"/>
          <w:sz w:val="20"/>
          <w:szCs w:val="20"/>
          <w:lang w:eastAsia="en-US"/>
        </w:rPr>
      </w:pPr>
      <w:r w:rsidRPr="00D20D38">
        <w:rPr>
          <w:rFonts w:ascii="Times New Roman" w:eastAsia="Times New Roman" w:hAnsi="Times New Roman"/>
          <w:sz w:val="20"/>
          <w:szCs w:val="20"/>
          <w:lang w:eastAsia="en-US"/>
        </w:rPr>
        <w:t xml:space="preserve">Od wydanej decyzji stronom przysługuje prawo wniesienia odwołania do Ministra Rozwoju </w:t>
      </w:r>
      <w:r w:rsidRPr="00D20D38">
        <w:rPr>
          <w:rFonts w:ascii="Times New Roman" w:eastAsia="Times New Roman" w:hAnsi="Times New Roman"/>
          <w:sz w:val="20"/>
          <w:szCs w:val="20"/>
          <w:lang w:eastAsia="en-US"/>
        </w:rPr>
        <w:br/>
        <w:t>i Technologii w Warszawie, za pośrednictwem Wojewody Śląskiego, w terminie:</w:t>
      </w:r>
    </w:p>
    <w:p w:rsidR="00D76999" w:rsidRPr="00D20D38" w:rsidP="00D76999">
      <w:pPr>
        <w:numPr>
          <w:ilvl w:val="0"/>
          <w:numId w:val="16"/>
        </w:numPr>
        <w:tabs>
          <w:tab w:val="left" w:pos="708"/>
        </w:tabs>
        <w:spacing w:after="0" w:line="276" w:lineRule="auto"/>
        <w:ind w:left="567" w:right="-2" w:hanging="284"/>
        <w:jc w:val="both"/>
        <w:rPr>
          <w:rFonts w:ascii="Times New Roman" w:eastAsia="Times New Roman" w:hAnsi="Times New Roman"/>
          <w:sz w:val="20"/>
          <w:szCs w:val="20"/>
          <w:lang w:eastAsia="en-US"/>
        </w:rPr>
      </w:pPr>
      <w:r w:rsidRPr="00D20D38">
        <w:rPr>
          <w:rFonts w:ascii="Times New Roman" w:eastAsia="Times New Roman" w:hAnsi="Times New Roman"/>
          <w:sz w:val="20"/>
          <w:szCs w:val="20"/>
          <w:lang w:eastAsia="en-US"/>
        </w:rPr>
        <w:t>7 dni od dnia jej doręczenia – wnioskodawcy,</w:t>
      </w:r>
    </w:p>
    <w:p w:rsidR="00D76999" w:rsidRPr="00D20D38" w:rsidP="00D76999">
      <w:pPr>
        <w:numPr>
          <w:ilvl w:val="0"/>
          <w:numId w:val="16"/>
        </w:numPr>
        <w:tabs>
          <w:tab w:val="left" w:pos="708"/>
        </w:tabs>
        <w:spacing w:after="0" w:line="276" w:lineRule="auto"/>
        <w:ind w:left="567" w:right="-2" w:hanging="284"/>
        <w:jc w:val="both"/>
        <w:rPr>
          <w:rFonts w:ascii="Times New Roman" w:eastAsia="Times New Roman" w:hAnsi="Times New Roman"/>
          <w:sz w:val="20"/>
          <w:szCs w:val="20"/>
          <w:lang w:eastAsia="en-US"/>
        </w:rPr>
      </w:pPr>
      <w:r w:rsidRPr="00D20D38">
        <w:rPr>
          <w:rFonts w:ascii="Times New Roman" w:eastAsia="Times New Roman" w:hAnsi="Times New Roman"/>
          <w:sz w:val="20"/>
          <w:szCs w:val="20"/>
          <w:lang w:eastAsia="en-US"/>
        </w:rPr>
        <w:t xml:space="preserve">14 dni od dnia, w którym zawiadomienie o wydaniu decyzji w drodze obwieszczenia uważa się za dokonane. </w:t>
      </w:r>
    </w:p>
    <w:p w:rsidR="00D76999" w:rsidRPr="00D20D38" w:rsidP="00D76999">
      <w:pPr>
        <w:numPr>
          <w:ilvl w:val="0"/>
          <w:numId w:val="15"/>
        </w:numPr>
        <w:tabs>
          <w:tab w:val="left" w:pos="708"/>
        </w:tabs>
        <w:suppressAutoHyphens/>
        <w:spacing w:after="0" w:line="276" w:lineRule="auto"/>
        <w:ind w:left="284" w:hanging="284"/>
        <w:jc w:val="both"/>
        <w:rPr>
          <w:rFonts w:ascii="Times New Roman" w:eastAsia="Times New Roman" w:hAnsi="Times New Roman"/>
          <w:bCs/>
          <w:iCs/>
          <w:sz w:val="20"/>
          <w:szCs w:val="20"/>
          <w:lang w:eastAsia="ar-SA"/>
        </w:rPr>
      </w:pPr>
      <w:r w:rsidRPr="00D20D38">
        <w:rPr>
          <w:rFonts w:ascii="Times New Roman" w:eastAsia="Times New Roman" w:hAnsi="Times New Roman"/>
          <w:bCs/>
          <w:iCs/>
          <w:sz w:val="20"/>
          <w:szCs w:val="20"/>
          <w:lang w:eastAsia="ar-SA"/>
        </w:rPr>
        <w:t xml:space="preserve">W przedmiotowej sprawie obwieszczenie o wydaniu decyzji zostanie opublikowane na tablicy ogłoszeń Śląskiego Urzędu Wojewódzkiego </w:t>
      </w:r>
      <w:r w:rsidRPr="00D20D38">
        <w:rPr>
          <w:rFonts w:ascii="Times New Roman" w:eastAsia="Times New Roman" w:hAnsi="Times New Roman"/>
          <w:b/>
          <w:bCs/>
          <w:iCs/>
          <w:sz w:val="20"/>
          <w:szCs w:val="20"/>
          <w:lang w:eastAsia="ar-SA"/>
        </w:rPr>
        <w:t xml:space="preserve">w dniu </w:t>
      </w:r>
      <w:r w:rsidR="00AC2B6B">
        <w:rPr>
          <w:rFonts w:ascii="Times New Roman" w:eastAsia="Times New Roman" w:hAnsi="Times New Roman"/>
          <w:b/>
          <w:bCs/>
          <w:iCs/>
          <w:sz w:val="20"/>
          <w:szCs w:val="20"/>
          <w:lang w:eastAsia="ar-SA"/>
        </w:rPr>
        <w:t>2</w:t>
      </w:r>
      <w:r w:rsidR="00E20C75">
        <w:rPr>
          <w:rFonts w:ascii="Times New Roman" w:eastAsia="Times New Roman" w:hAnsi="Times New Roman"/>
          <w:b/>
          <w:bCs/>
          <w:iCs/>
          <w:sz w:val="20"/>
          <w:szCs w:val="20"/>
          <w:lang w:eastAsia="ar-SA"/>
        </w:rPr>
        <w:t>7</w:t>
      </w:r>
      <w:bookmarkStart w:id="0" w:name="_GoBack"/>
      <w:bookmarkEnd w:id="0"/>
      <w:r w:rsidRPr="00D20D38">
        <w:rPr>
          <w:rFonts w:ascii="Times New Roman" w:eastAsia="Times New Roman" w:hAnsi="Times New Roman"/>
          <w:b/>
          <w:bCs/>
          <w:iCs/>
          <w:sz w:val="20"/>
          <w:szCs w:val="20"/>
          <w:lang w:eastAsia="ar-SA"/>
        </w:rPr>
        <w:t xml:space="preserve"> </w:t>
      </w:r>
      <w:r w:rsidRPr="00D20D38" w:rsidR="00D20D38">
        <w:rPr>
          <w:rFonts w:ascii="Times New Roman" w:eastAsia="Times New Roman" w:hAnsi="Times New Roman"/>
          <w:b/>
          <w:bCs/>
          <w:iCs/>
          <w:sz w:val="20"/>
          <w:szCs w:val="20"/>
          <w:lang w:eastAsia="ar-SA"/>
        </w:rPr>
        <w:t>września</w:t>
      </w:r>
      <w:r w:rsidRPr="00D20D38">
        <w:rPr>
          <w:rFonts w:ascii="Times New Roman" w:eastAsia="Times New Roman" w:hAnsi="Times New Roman"/>
          <w:b/>
          <w:bCs/>
          <w:iCs/>
          <w:sz w:val="20"/>
          <w:szCs w:val="20"/>
          <w:lang w:eastAsia="ar-SA"/>
        </w:rPr>
        <w:t xml:space="preserve"> 2024 r. </w:t>
      </w:r>
      <w:r w:rsidRPr="00D20D38">
        <w:rPr>
          <w:rFonts w:ascii="Times New Roman" w:eastAsia="Times New Roman" w:hAnsi="Times New Roman"/>
          <w:bCs/>
          <w:iCs/>
          <w:sz w:val="20"/>
          <w:szCs w:val="20"/>
          <w:lang w:eastAsia="ar-SA"/>
        </w:rPr>
        <w:t xml:space="preserve">Termin do wniesienia odwołania upływa </w:t>
      </w:r>
      <w:r w:rsidR="00EC7E44">
        <w:rPr>
          <w:rFonts w:ascii="Times New Roman" w:eastAsia="Times New Roman" w:hAnsi="Times New Roman"/>
          <w:bCs/>
          <w:iCs/>
          <w:sz w:val="20"/>
          <w:szCs w:val="20"/>
          <w:lang w:eastAsia="ar-SA"/>
        </w:rPr>
        <w:br/>
      </w:r>
      <w:r w:rsidRPr="00D20D38">
        <w:rPr>
          <w:rFonts w:ascii="Times New Roman" w:eastAsia="Times New Roman" w:hAnsi="Times New Roman"/>
          <w:bCs/>
          <w:iCs/>
          <w:sz w:val="20"/>
          <w:szCs w:val="20"/>
          <w:lang w:eastAsia="ar-SA"/>
        </w:rPr>
        <w:t xml:space="preserve">28 dnia licząc o dnia publikacji obwieszczenia w Śląskim Urzędzie Wojewódzkim. </w:t>
      </w:r>
    </w:p>
    <w:p w:rsidR="00D76999" w:rsidRPr="00D20D38" w:rsidP="00D76999">
      <w:pPr>
        <w:numPr>
          <w:ilvl w:val="0"/>
          <w:numId w:val="15"/>
        </w:numPr>
        <w:tabs>
          <w:tab w:val="left" w:pos="708"/>
        </w:tabs>
        <w:spacing w:after="0" w:line="276" w:lineRule="auto"/>
        <w:ind w:left="284" w:hanging="284"/>
        <w:jc w:val="both"/>
        <w:rPr>
          <w:rFonts w:ascii="Times New Roman" w:hAnsi="Times New Roman" w:eastAsiaTheme="minorHAnsi"/>
          <w:iCs/>
          <w:sz w:val="20"/>
          <w:szCs w:val="20"/>
          <w:lang w:eastAsia="en-US"/>
        </w:rPr>
      </w:pPr>
      <w:r w:rsidRPr="00D20D38">
        <w:rPr>
          <w:rFonts w:ascii="Times New Roman" w:hAnsi="Times New Roman" w:eastAsiaTheme="minorHAnsi"/>
          <w:iCs/>
          <w:sz w:val="20"/>
          <w:szCs w:val="20"/>
          <w:lang w:eastAsia="en-US"/>
        </w:rPr>
        <w:t>Odwołanie powinno zawierać zarzuty odnoszące się do decyzji, istotę i zakres żądania będącego przedmiotem odwołania oraz wskazywać dowody uzasadniające to żądanie.</w:t>
      </w:r>
    </w:p>
    <w:p w:rsidR="00D76999" w:rsidRPr="00D20D38" w:rsidP="00D20D38">
      <w:pPr>
        <w:numPr>
          <w:ilvl w:val="0"/>
          <w:numId w:val="15"/>
        </w:numPr>
        <w:tabs>
          <w:tab w:val="left" w:pos="708"/>
        </w:tabs>
        <w:spacing w:after="0" w:line="276" w:lineRule="auto"/>
        <w:ind w:left="284" w:hanging="284"/>
        <w:jc w:val="both"/>
        <w:rPr>
          <w:rFonts w:ascii="Times New Roman" w:hAnsi="Times New Roman" w:eastAsiaTheme="minorHAnsi"/>
          <w:iCs/>
          <w:sz w:val="20"/>
          <w:szCs w:val="20"/>
          <w:lang w:eastAsia="en-US"/>
        </w:rPr>
      </w:pPr>
      <w:r w:rsidRPr="00D20D38">
        <w:rPr>
          <w:rFonts w:ascii="Times New Roman" w:hAnsi="Times New Roman" w:eastAsiaTheme="minorHAnsi"/>
          <w:iCs/>
          <w:sz w:val="20"/>
          <w:szCs w:val="20"/>
          <w:lang w:eastAsia="en-US"/>
        </w:rPr>
        <w:t xml:space="preserve">Przed upływem terminu do wniesienia odwołania strony mogą zrzec się prawa do wniesienia odwołania wobec organu administracji publicznej, który wydał decyzję (art. 127a § 1 </w:t>
      </w:r>
      <w:r w:rsidRPr="00D20D38">
        <w:rPr>
          <w:rFonts w:ascii="Times New Roman" w:hAnsi="Times New Roman" w:eastAsiaTheme="minorHAnsi"/>
          <w:i/>
          <w:iCs/>
          <w:sz w:val="20"/>
          <w:szCs w:val="20"/>
          <w:lang w:eastAsia="en-US"/>
        </w:rPr>
        <w:t>Kpa</w:t>
      </w:r>
      <w:r w:rsidRPr="00D20D38">
        <w:rPr>
          <w:rFonts w:ascii="Times New Roman" w:hAnsi="Times New Roman" w:eastAsiaTheme="minorHAnsi"/>
          <w:iCs/>
          <w:sz w:val="20"/>
          <w:szCs w:val="20"/>
          <w:lang w:eastAsia="en-US"/>
        </w:rPr>
        <w:t xml:space="preserve">). Jeżeli oświadczenie o zrzeczeniu się prawa do wniesienia odwołania wniosą wszystkie strony postępowania, z dniem doręczenia organowi administracji publicznej tego oświadczenia przez ostatnią ze stron postępowania, decyzja staje się ostateczna i prawomocna (art. 127a § 2 </w:t>
      </w:r>
      <w:r w:rsidRPr="00D20D38">
        <w:rPr>
          <w:rFonts w:ascii="Times New Roman" w:hAnsi="Times New Roman" w:eastAsiaTheme="minorHAnsi"/>
          <w:i/>
          <w:iCs/>
          <w:sz w:val="20"/>
          <w:szCs w:val="20"/>
          <w:lang w:eastAsia="en-US"/>
        </w:rPr>
        <w:t>Kpa</w:t>
      </w:r>
      <w:r w:rsidRPr="00D20D38">
        <w:rPr>
          <w:rFonts w:ascii="Times New Roman" w:hAnsi="Times New Roman" w:eastAsiaTheme="minorHAnsi"/>
          <w:iCs/>
          <w:sz w:val="20"/>
          <w:szCs w:val="20"/>
          <w:lang w:eastAsia="en-US"/>
        </w:rPr>
        <w:t>), zatem nie ma możliwości zaskarżenia jej do Wojewódzkiego Sądu Administracyjnego.</w:t>
      </w:r>
    </w:p>
    <w:p w:rsidR="000107B3" w:rsidRPr="000107B3" w:rsidP="000107B3">
      <w:pPr>
        <w:spacing w:before="240" w:line="264" w:lineRule="auto"/>
        <w:ind w:left="4253"/>
        <w:jc w:val="center"/>
        <w:rPr>
          <w:rFonts w:ascii="Times New Roman" w:hAnsi="Times New Roman"/>
        </w:rPr>
      </w:pPr>
      <w:r w:rsidRPr="000107B3">
        <w:rPr>
          <w:rFonts w:ascii="Times New Roman" w:hAnsi="Times New Roman"/>
        </w:rPr>
        <w:t>Z up. WOJEWODY ŚLĄSKIEGO</w:t>
      </w:r>
    </w:p>
    <w:p w:rsidR="000107B3" w:rsidRPr="000107B3" w:rsidP="000107B3">
      <w:pPr>
        <w:spacing w:after="0" w:line="264" w:lineRule="auto"/>
        <w:ind w:left="4253"/>
        <w:jc w:val="center"/>
        <w:rPr>
          <w:rFonts w:ascii="Times New Roman" w:hAnsi="Times New Roman"/>
        </w:rPr>
      </w:pPr>
      <w:r w:rsidRPr="000107B3">
        <w:rPr>
          <w:rFonts w:ascii="Times New Roman" w:hAnsi="Times New Roman"/>
        </w:rPr>
        <w:t xml:space="preserve">Joanna </w:t>
      </w:r>
      <w:r w:rsidRPr="000107B3">
        <w:rPr>
          <w:rFonts w:ascii="Times New Roman" w:hAnsi="Times New Roman"/>
        </w:rPr>
        <w:t>Lanczek</w:t>
      </w:r>
    </w:p>
    <w:p w:rsidR="000107B3" w:rsidRPr="000107B3" w:rsidP="000107B3">
      <w:pPr>
        <w:spacing w:after="0" w:line="264" w:lineRule="auto"/>
        <w:ind w:left="4253"/>
        <w:jc w:val="center"/>
        <w:rPr>
          <w:rFonts w:ascii="Times New Roman" w:hAnsi="Times New Roman"/>
        </w:rPr>
      </w:pPr>
      <w:r w:rsidRPr="000107B3">
        <w:rPr>
          <w:rFonts w:ascii="Times New Roman" w:hAnsi="Times New Roman"/>
        </w:rPr>
        <w:t xml:space="preserve">Kierownik Oddziału ds. Inwestycji  Publicznych </w:t>
      </w:r>
    </w:p>
    <w:p w:rsidR="000107B3" w:rsidRPr="000107B3" w:rsidP="000107B3">
      <w:pPr>
        <w:spacing w:after="0" w:line="264" w:lineRule="auto"/>
        <w:ind w:left="4253"/>
        <w:jc w:val="center"/>
        <w:rPr>
          <w:rFonts w:ascii="Times New Roman" w:hAnsi="Times New Roman"/>
        </w:rPr>
      </w:pPr>
      <w:r w:rsidRPr="000107B3">
        <w:rPr>
          <w:rFonts w:ascii="Times New Roman" w:hAnsi="Times New Roman"/>
        </w:rPr>
        <w:t xml:space="preserve">w Wydziale Infrastruktury </w:t>
      </w:r>
    </w:p>
    <w:p w:rsidR="008E4A2D" w:rsidRPr="000107B3" w:rsidP="000107B3">
      <w:pPr>
        <w:spacing w:after="0" w:line="264" w:lineRule="auto"/>
        <w:ind w:left="4253"/>
        <w:jc w:val="center"/>
        <w:rPr>
          <w:rFonts w:ascii="Times New Roman" w:hAnsi="Times New Roman"/>
          <w:i/>
          <w:sz w:val="18"/>
        </w:rPr>
      </w:pPr>
      <w:r w:rsidRPr="000107B3">
        <w:rPr>
          <w:rFonts w:ascii="Times New Roman" w:hAnsi="Times New Roman"/>
          <w:i/>
          <w:sz w:val="18"/>
        </w:rPr>
        <w:t>/podpisano kwalifikowanym podpisem elektronicznym/</w:t>
      </w:r>
      <w:r w:rsidRPr="00CC39EA" w:rsidR="00CF713A">
        <w:rPr>
          <w:rFonts w:ascii="Times New Roman" w:eastAsia="Calibri" w:hAnsi="Times New Roman" w:cs="Times New Roman"/>
          <w:sz w:val="20"/>
        </w:rPr>
        <w:t>/</w:t>
      </w:r>
    </w:p>
    <w:sectPr w:rsidSect="0024062F">
      <w:headerReference w:type="even" r:id="rId5"/>
      <w:footerReference w:type="even" r:id="rId6"/>
      <w:footerReference w:type="default" r:id="rId7"/>
      <w:headerReference w:type="first" r:id="rId8"/>
      <w:pgSz w:w="11906" w:h="16838"/>
      <w:pgMar w:top="1418" w:right="1418" w:bottom="1418" w:left="1418" w:header="340" w:footer="335" w:gutter="0"/>
      <w:cols w:space="708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5260" w:rsidP="00915260">
    <w:pPr>
      <w:jc w:val="center"/>
    </w:pPr>
    <w:r>
      <w:pict>
        <v:rect id="_x0000_i2049" style="height:1.5pt;width:446.45pt" o:hralign="center" o:hrstd="t" o:hr="t" fillcolor="#a0a0a0" stroked="f"/>
      </w:pict>
    </w:r>
  </w:p>
  <w:p w:rsidR="00AD1869" w:rsidP="00AD1869">
    <w:pPr>
      <w:pStyle w:val="Footer"/>
      <w:spacing w:after="0"/>
      <w:jc w:val="center"/>
    </w:pPr>
    <w:r>
      <w:rPr>
        <w:b/>
        <w:sz w:val="16"/>
        <w:szCs w:val="16"/>
      </w:rPr>
      <w:t>ŚLĄSKI URZĄD WOJEWÓDZKI W KATOWICACH</w:t>
    </w:r>
  </w:p>
  <w:p w:rsidR="00AD1869" w:rsidP="00AD1869">
    <w:pPr>
      <w:pStyle w:val="Footer"/>
      <w:spacing w:after="0"/>
      <w:jc w:val="center"/>
    </w:pPr>
    <w:r>
      <w:rPr>
        <w:b/>
        <w:sz w:val="16"/>
        <w:szCs w:val="16"/>
      </w:rPr>
      <w:t>Wydział Infrastruktury</w:t>
    </w:r>
  </w:p>
  <w:p w:rsidR="00AD1869" w:rsidP="00AD1869">
    <w:pPr>
      <w:pStyle w:val="Footer"/>
      <w:spacing w:after="0"/>
      <w:jc w:val="center"/>
    </w:pPr>
    <w:r>
      <w:rPr>
        <w:sz w:val="16"/>
        <w:szCs w:val="16"/>
      </w:rPr>
      <w:t>ul. Jagiellońska 25, 40-032 Katowice, tel.: 32 207 75 89, fax: 32 207 75 88</w:t>
    </w:r>
  </w:p>
  <w:p w:rsidR="00AD1869" w:rsidP="00AD1869">
    <w:pPr>
      <w:pStyle w:val="NormalWeb"/>
      <w:spacing w:after="0"/>
      <w:jc w:val="center"/>
    </w:pPr>
    <w:r>
      <w:rPr>
        <w:rFonts w:ascii="Times New Roman" w:hAnsi="Times New Roman" w:cs="Times New Roman"/>
        <w:sz w:val="16"/>
        <w:szCs w:val="16"/>
      </w:rPr>
      <w:t>www.katowice.uw.gov.pl</w:t>
    </w:r>
    <w:r>
      <w:rPr>
        <w:rFonts w:ascii="Times New Roman" w:hAnsi="Times New Roman" w:cs="Times New Roman"/>
        <w:sz w:val="16"/>
        <w:szCs w:val="16"/>
        <w:lang w:val="de-DE"/>
      </w:rPr>
      <w:t xml:space="preserve">, </w:t>
    </w:r>
    <w:r>
      <w:rPr>
        <w:rFonts w:ascii="Times New Roman" w:hAnsi="Times New Roman" w:cs="Times New Roman"/>
        <w:sz w:val="16"/>
        <w:szCs w:val="16"/>
        <w:lang w:val="de-DE"/>
      </w:rPr>
      <w:t>ePUAP</w:t>
    </w:r>
    <w:r>
      <w:rPr>
        <w:rFonts w:ascii="Times New Roman" w:hAnsi="Times New Roman" w:cs="Times New Roman"/>
        <w:sz w:val="16"/>
        <w:szCs w:val="16"/>
        <w:lang w:val="de-DE"/>
      </w:rPr>
      <w:t xml:space="preserve">: </w:t>
    </w:r>
    <w:r>
      <w:rPr>
        <w:rFonts w:ascii="Times New Roman" w:hAnsi="Times New Roman" w:cs="Times New Roman"/>
        <w:sz w:val="16"/>
        <w:szCs w:val="16"/>
        <w:u w:val="single"/>
      </w:rPr>
      <w:t>/SUW2/</w:t>
    </w:r>
    <w:r>
      <w:rPr>
        <w:rFonts w:ascii="Times New Roman" w:hAnsi="Times New Roman" w:cs="Times New Roman"/>
        <w:sz w:val="16"/>
        <w:szCs w:val="16"/>
        <w:u w:val="single"/>
      </w:rPr>
      <w:t>urzad</w:t>
    </w:r>
  </w:p>
  <w:p w:rsidR="00AD1869" w:rsidRPr="002C13C8" w:rsidP="00AD1869">
    <w:pPr>
      <w:pStyle w:val="Domylnie"/>
      <w:jc w:val="right"/>
      <w:rPr>
        <w:sz w:val="16"/>
        <w:szCs w:val="16"/>
      </w:rPr>
    </w:pPr>
    <w:r w:rsidRPr="002C13C8">
      <w:rPr>
        <w:sz w:val="16"/>
        <w:szCs w:val="16"/>
      </w:rPr>
      <w:t xml:space="preserve">Strona </w:t>
    </w:r>
    <w:r w:rsidRPr="002C13C8">
      <w:rPr>
        <w:sz w:val="16"/>
        <w:szCs w:val="16"/>
      </w:rPr>
      <w:fldChar w:fldCharType="begin"/>
    </w:r>
    <w:r w:rsidRPr="002C13C8">
      <w:rPr>
        <w:sz w:val="16"/>
        <w:szCs w:val="16"/>
      </w:rPr>
      <w:instrText>PAGE</w:instrText>
    </w:r>
    <w:r w:rsidRPr="002C13C8"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 w:rsidRPr="002C13C8">
      <w:rPr>
        <w:sz w:val="16"/>
        <w:szCs w:val="16"/>
      </w:rPr>
      <w:fldChar w:fldCharType="end"/>
    </w:r>
    <w:r w:rsidRPr="002C13C8">
      <w:rPr>
        <w:sz w:val="16"/>
        <w:szCs w:val="16"/>
      </w:rPr>
      <w:t xml:space="preserve"> z </w:t>
    </w:r>
    <w:r w:rsidRPr="002C13C8">
      <w:rPr>
        <w:sz w:val="16"/>
        <w:szCs w:val="16"/>
      </w:rPr>
      <w:fldChar w:fldCharType="begin"/>
    </w:r>
    <w:r w:rsidRPr="002C13C8">
      <w:rPr>
        <w:sz w:val="16"/>
        <w:szCs w:val="16"/>
      </w:rPr>
      <w:instrText>NUMPAGES</w:instrText>
    </w:r>
    <w:r w:rsidRPr="002C13C8"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 w:rsidRPr="002C13C8">
      <w:rPr>
        <w:sz w:val="16"/>
        <w:szCs w:val="16"/>
      </w:rPr>
      <w:fldChar w:fldCharType="end"/>
    </w:r>
  </w:p>
  <w:p w:rsidR="00AB2A7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2A7F" w:rsidRPr="002C13C8">
    <w:pPr>
      <w:pStyle w:val="Domylnie"/>
      <w:jc w:val="right"/>
      <w:rPr>
        <w:sz w:val="16"/>
        <w:szCs w:val="16"/>
      </w:rPr>
    </w:pPr>
    <w:r w:rsidRPr="002C13C8">
      <w:rPr>
        <w:sz w:val="16"/>
        <w:szCs w:val="16"/>
      </w:rPr>
      <w:t xml:space="preserve">Strona </w:t>
    </w:r>
    <w:r w:rsidRPr="002C13C8">
      <w:rPr>
        <w:sz w:val="16"/>
        <w:szCs w:val="16"/>
      </w:rPr>
      <w:fldChar w:fldCharType="begin"/>
    </w:r>
    <w:r w:rsidRPr="002C13C8">
      <w:rPr>
        <w:sz w:val="16"/>
        <w:szCs w:val="16"/>
      </w:rPr>
      <w:instrText>PAGE</w:instrText>
    </w:r>
    <w:r w:rsidRPr="002C13C8">
      <w:rPr>
        <w:sz w:val="16"/>
        <w:szCs w:val="16"/>
      </w:rPr>
      <w:fldChar w:fldCharType="separate"/>
    </w:r>
    <w:r w:rsidR="00AC2B6B">
      <w:rPr>
        <w:noProof/>
        <w:sz w:val="16"/>
        <w:szCs w:val="16"/>
      </w:rPr>
      <w:t>2</w:t>
    </w:r>
    <w:r w:rsidRPr="002C13C8">
      <w:rPr>
        <w:sz w:val="16"/>
        <w:szCs w:val="16"/>
      </w:rPr>
      <w:fldChar w:fldCharType="end"/>
    </w:r>
    <w:r w:rsidRPr="002C13C8">
      <w:rPr>
        <w:sz w:val="16"/>
        <w:szCs w:val="16"/>
      </w:rPr>
      <w:t xml:space="preserve"> z </w:t>
    </w:r>
    <w:r w:rsidRPr="002C13C8">
      <w:rPr>
        <w:sz w:val="16"/>
        <w:szCs w:val="16"/>
      </w:rPr>
      <w:fldChar w:fldCharType="begin"/>
    </w:r>
    <w:r w:rsidRPr="002C13C8">
      <w:rPr>
        <w:sz w:val="16"/>
        <w:szCs w:val="16"/>
      </w:rPr>
      <w:instrText>NUMPAGES</w:instrText>
    </w:r>
    <w:r w:rsidRPr="002C13C8">
      <w:rPr>
        <w:sz w:val="16"/>
        <w:szCs w:val="16"/>
      </w:rPr>
      <w:fldChar w:fldCharType="separate"/>
    </w:r>
    <w:r w:rsidR="00AC2B6B">
      <w:rPr>
        <w:noProof/>
        <w:sz w:val="16"/>
        <w:szCs w:val="16"/>
      </w:rPr>
      <w:t>2</w:t>
    </w:r>
    <w:r w:rsidRPr="002C13C8">
      <w:rPr>
        <w:sz w:val="16"/>
        <w:szCs w:val="16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2A7F">
    <w:pPr>
      <w:pStyle w:val="Header"/>
      <w:keepNext/>
      <w:tabs>
        <w:tab w:val="center" w:pos="4536"/>
        <w:tab w:val="right" w:pos="9072"/>
      </w:tabs>
      <w:spacing w:before="240" w:after="12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5FE5" w:rsidRPr="00EF0987" w:rsidP="009E432A">
    <w:pPr>
      <w:spacing w:before="60" w:after="0"/>
      <w:ind w:left="709" w:right="68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obje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50" type="#_x0000_t75" style="height:42.75pt;width:44.25pt" o:oleicon="f" o:ole="" filled="t">
          <v:fill color2="black"/>
          <v:imagedata r:id="rId1" o:title=""/>
        </v:shape>
        <o:OLEObject Type="Embed" ProgID="Paint.Picture" ShapeID="_x0000_i2050" DrawAspect="Content" ObjectID="_1788952212" r:id="rId2"/>
      </w:object>
    </w:r>
  </w:p>
  <w:p w:rsidR="00A25FE5" w:rsidRPr="007F5A67" w:rsidP="00A25FE5">
    <w:pPr>
      <w:spacing w:before="60" w:after="0"/>
      <w:ind w:right="68"/>
      <w:rPr>
        <w:rFonts w:ascii="Times New Roman" w:hAnsi="Times New Roman" w:cs="Times New Roman"/>
      </w:rPr>
    </w:pPr>
    <w:r w:rsidRPr="00EF0987">
      <w:rPr>
        <w:rFonts w:ascii="Times New Roman" w:hAnsi="Times New Roman" w:cs="Times New Roman"/>
        <w:sz w:val="24"/>
        <w:szCs w:val="24"/>
      </w:rPr>
      <w:t xml:space="preserve">WOJEWODA </w:t>
    </w:r>
    <w:r>
      <w:rPr>
        <w:rFonts w:ascii="Times New Roman" w:hAnsi="Times New Roman" w:cs="Times New Roman"/>
        <w:sz w:val="24"/>
        <w:szCs w:val="24"/>
      </w:rPr>
      <w:t>ŚLĄSKI</w:t>
    </w:r>
    <w:r>
      <w:rPr>
        <w:rFonts w:ascii="Times New Roman" w:hAnsi="Times New Roman" w:cs="Times New Roman"/>
        <w:sz w:val="24"/>
        <w:szCs w:val="24"/>
      </w:rPr>
      <w:tab/>
    </w:r>
    <w:r>
      <w:rPr>
        <w:rFonts w:ascii="Times New Roman" w:hAnsi="Times New Roman" w:cs="Times New Roman"/>
        <w:sz w:val="24"/>
        <w:szCs w:val="24"/>
      </w:rPr>
      <w:tab/>
    </w:r>
    <w:r>
      <w:rPr>
        <w:rFonts w:ascii="Times New Roman" w:hAnsi="Times New Roman" w:cs="Times New Roman"/>
        <w:sz w:val="24"/>
        <w:szCs w:val="24"/>
      </w:rPr>
      <w:tab/>
    </w:r>
    <w:r>
      <w:rPr>
        <w:rFonts w:ascii="Times New Roman" w:hAnsi="Times New Roman" w:cs="Times New Roman"/>
        <w:sz w:val="24"/>
        <w:szCs w:val="24"/>
      </w:rPr>
      <w:tab/>
    </w:r>
    <w:r>
      <w:rPr>
        <w:rFonts w:ascii="Times New Roman" w:hAnsi="Times New Roman" w:cs="Times New Roman"/>
        <w:sz w:val="24"/>
        <w:szCs w:val="24"/>
      </w:rPr>
      <w:tab/>
    </w:r>
    <w:r>
      <w:rPr>
        <w:rFonts w:ascii="Times New Roman" w:hAnsi="Times New Roman" w:cs="Times New Roman"/>
        <w:sz w:val="24"/>
        <w:szCs w:val="24"/>
      </w:rPr>
      <w:tab/>
      <w:t xml:space="preserve">Katowice, </w:t>
    </w:r>
    <w:bookmarkStart w:id="1" w:name="EzdDataPodpisu"/>
    <w:r w:rsidRPr="007F5A67">
      <w:rPr>
        <w:rFonts w:ascii="Times New Roman" w:hAnsi="Times New Roman" w:cs="Times New Roman"/>
      </w:rPr>
      <w:t>27-09-2024</w:t>
    </w:r>
    <w:bookmarkEnd w:id="1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CC257D"/>
    <w:multiLevelType w:val="hybridMultilevel"/>
    <w:tmpl w:val="CAAA86A6"/>
    <w:lvl w:ilvl="0">
      <w:start w:val="1"/>
      <w:numFmt w:val="decimal"/>
      <w:lvlText w:val="%1."/>
      <w:lvlJc w:val="left"/>
      <w:pPr>
        <w:ind w:left="153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873" w:hanging="360"/>
      </w:pPr>
    </w:lvl>
    <w:lvl w:ilvl="2" w:tentative="1">
      <w:start w:val="1"/>
      <w:numFmt w:val="lowerRoman"/>
      <w:lvlText w:val="%3."/>
      <w:lvlJc w:val="right"/>
      <w:pPr>
        <w:ind w:left="1593" w:hanging="180"/>
      </w:pPr>
    </w:lvl>
    <w:lvl w:ilvl="3" w:tentative="1">
      <w:start w:val="1"/>
      <w:numFmt w:val="decimal"/>
      <w:lvlText w:val="%4."/>
      <w:lvlJc w:val="left"/>
      <w:pPr>
        <w:ind w:left="2313" w:hanging="360"/>
      </w:pPr>
    </w:lvl>
    <w:lvl w:ilvl="4" w:tentative="1">
      <w:start w:val="1"/>
      <w:numFmt w:val="lowerLetter"/>
      <w:lvlText w:val="%5."/>
      <w:lvlJc w:val="left"/>
      <w:pPr>
        <w:ind w:left="3033" w:hanging="360"/>
      </w:pPr>
    </w:lvl>
    <w:lvl w:ilvl="5" w:tentative="1">
      <w:start w:val="1"/>
      <w:numFmt w:val="lowerRoman"/>
      <w:lvlText w:val="%6."/>
      <w:lvlJc w:val="right"/>
      <w:pPr>
        <w:ind w:left="3753" w:hanging="180"/>
      </w:pPr>
    </w:lvl>
    <w:lvl w:ilvl="6" w:tentative="1">
      <w:start w:val="1"/>
      <w:numFmt w:val="decimal"/>
      <w:lvlText w:val="%7."/>
      <w:lvlJc w:val="left"/>
      <w:pPr>
        <w:ind w:left="4473" w:hanging="360"/>
      </w:pPr>
    </w:lvl>
    <w:lvl w:ilvl="7" w:tentative="1">
      <w:start w:val="1"/>
      <w:numFmt w:val="lowerLetter"/>
      <w:lvlText w:val="%8."/>
      <w:lvlJc w:val="left"/>
      <w:pPr>
        <w:ind w:left="5193" w:hanging="360"/>
      </w:pPr>
    </w:lvl>
    <w:lvl w:ilvl="8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">
    <w:nsid w:val="08FA0A4D"/>
    <w:multiLevelType w:val="hybridMultilevel"/>
    <w:tmpl w:val="DBFA97D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6105F3"/>
    <w:multiLevelType w:val="hybridMultilevel"/>
    <w:tmpl w:val="BCA20EDC"/>
    <w:lvl w:ilvl="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0C6E79E4"/>
    <w:multiLevelType w:val="multilevel"/>
    <w:tmpl w:val="C428BEA8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0E772E3B"/>
    <w:multiLevelType w:val="multilevel"/>
    <w:tmpl w:val="AB00A3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E851A9"/>
    <w:multiLevelType w:val="hybridMultilevel"/>
    <w:tmpl w:val="235A9C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8868E0"/>
    <w:multiLevelType w:val="hybridMultilevel"/>
    <w:tmpl w:val="6B5E6484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6A2B7E"/>
    <w:multiLevelType w:val="hybridMultilevel"/>
    <w:tmpl w:val="9E48DD3E"/>
    <w:lvl w:ilvl="0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8">
    <w:nsid w:val="395E0DFC"/>
    <w:multiLevelType w:val="hybridMultilevel"/>
    <w:tmpl w:val="235A9C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A2652A"/>
    <w:multiLevelType w:val="hybridMultilevel"/>
    <w:tmpl w:val="AAFAAFF4"/>
    <w:lvl w:ilvl="0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0">
    <w:nsid w:val="4BE26519"/>
    <w:multiLevelType w:val="multilevel"/>
    <w:tmpl w:val="71984456"/>
    <w:lvl w:ilvl="0">
      <w:start w:val="1"/>
      <w:numFmt w:val="none"/>
      <w:suff w:val="nothing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Jc w:val="left"/>
      <w:pPr>
        <w:tabs>
          <w:tab w:val="num" w:pos="1584"/>
        </w:tabs>
        <w:ind w:left="1584" w:hanging="1584"/>
      </w:pPr>
    </w:lvl>
  </w:abstractNum>
  <w:abstractNum w:abstractNumId="11">
    <w:nsid w:val="518E087F"/>
    <w:multiLevelType w:val="hybridMultilevel"/>
    <w:tmpl w:val="6828446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FF7395"/>
    <w:multiLevelType w:val="hybridMultilevel"/>
    <w:tmpl w:val="F12A984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B07086"/>
    <w:multiLevelType w:val="hybridMultilevel"/>
    <w:tmpl w:val="1A1635CA"/>
    <w:lvl w:ilvl="0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4">
    <w:nsid w:val="63032BDB"/>
    <w:multiLevelType w:val="multilevel"/>
    <w:tmpl w:val="57468E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5602F5B"/>
    <w:multiLevelType w:val="multilevel"/>
    <w:tmpl w:val="CDFE0B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4"/>
  </w:num>
  <w:num w:numId="3">
    <w:abstractNumId w:val="10"/>
  </w:num>
  <w:num w:numId="4">
    <w:abstractNumId w:val="3"/>
  </w:num>
  <w:num w:numId="5">
    <w:abstractNumId w:val="15"/>
  </w:num>
  <w:num w:numId="6">
    <w:abstractNumId w:val="0"/>
  </w:num>
  <w:num w:numId="7">
    <w:abstractNumId w:val="7"/>
  </w:num>
  <w:num w:numId="8">
    <w:abstractNumId w:val="13"/>
  </w:num>
  <w:num w:numId="9">
    <w:abstractNumId w:val="1"/>
  </w:num>
  <w:num w:numId="10">
    <w:abstractNumId w:val="8"/>
  </w:num>
  <w:num w:numId="11">
    <w:abstractNumId w:val="11"/>
  </w:num>
  <w:num w:numId="12">
    <w:abstractNumId w:val="9"/>
  </w:num>
  <w:num w:numId="13">
    <w:abstractNumId w:val="5"/>
  </w:num>
  <w:num w:numId="14">
    <w:abstractNumId w:val="6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omylnie">
    <w:name w:val="Domyślnie"/>
    <w:pPr>
      <w:tabs>
        <w:tab w:val="left" w:pos="708"/>
      </w:tabs>
      <w:suppressAutoHyphens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efaultParagraphFont"/>
    <w:uiPriority w:val="99"/>
    <w:rPr>
      <w:rFonts w:cs="Times New Roman"/>
      <w:sz w:val="24"/>
      <w:szCs w:val="24"/>
    </w:rPr>
  </w:style>
  <w:style w:type="character" w:customStyle="1" w:styleId="StopkaZnak">
    <w:name w:val="Stopka Znak"/>
    <w:basedOn w:val="DefaultParagraphFont"/>
    <w:rPr>
      <w:rFonts w:cs="Times New Roman"/>
      <w:sz w:val="24"/>
    </w:rPr>
  </w:style>
  <w:style w:type="character" w:customStyle="1" w:styleId="czeinternetowe">
    <w:name w:val="Łącze internetowe"/>
    <w:basedOn w:val="DefaultParagraphFont"/>
    <w:rPr>
      <w:rFonts w:cs="Times New Roman"/>
      <w:color w:val="0000FF"/>
      <w:u w:val="single"/>
      <w:lang w:val="pl-PL" w:eastAsia="pl-PL" w:bidi="pl-PL"/>
    </w:rPr>
  </w:style>
  <w:style w:type="character" w:customStyle="1" w:styleId="Mocnowyrniony">
    <w:name w:val="Mocno wyróżniony"/>
    <w:basedOn w:val="DefaultParagraphFont"/>
    <w:rPr>
      <w:rFonts w:cs="Times New Roman"/>
      <w:b/>
      <w:bCs/>
    </w:rPr>
  </w:style>
  <w:style w:type="character" w:customStyle="1" w:styleId="TekstdymkaZnak">
    <w:name w:val="Tekst dymka Znak"/>
    <w:basedOn w:val="DefaultParagraphFont"/>
    <w:rPr>
      <w:rFonts w:ascii="Tahoma" w:hAnsi="Tahoma" w:cs="Times New Roman"/>
      <w:sz w:val="16"/>
    </w:rPr>
  </w:style>
  <w:style w:type="character" w:customStyle="1" w:styleId="h2">
    <w:name w:val="h2"/>
    <w:basedOn w:val="DefaultParagraphFont"/>
    <w:rPr>
      <w:rFonts w:cs="Times New Roman"/>
    </w:rPr>
  </w:style>
  <w:style w:type="character" w:customStyle="1" w:styleId="highlight1">
    <w:name w:val="highlight1"/>
    <w:rPr>
      <w:b/>
    </w:rPr>
  </w:style>
  <w:style w:type="character" w:customStyle="1" w:styleId="TekstpodstawowyZnak">
    <w:name w:val="Tekst podstawowy Znak"/>
    <w:basedOn w:val="DefaultParagraphFont"/>
    <w:link w:val="BodyText"/>
    <w:rPr>
      <w:rFonts w:eastAsia="Arial Unicode MS" w:cs="Times New Roman"/>
      <w:sz w:val="24"/>
      <w:lang w:eastAsia="ar-SA" w:bidi="ar-SA"/>
    </w:rPr>
  </w:style>
  <w:style w:type="character" w:customStyle="1" w:styleId="Teksttreci2">
    <w:name w:val="Tekst treści (2)_"/>
    <w:rPr>
      <w:shd w:val="clear" w:color="auto" w:fill="FFFFFF"/>
    </w:rPr>
  </w:style>
  <w:style w:type="character" w:customStyle="1" w:styleId="ListLabel1">
    <w:name w:val="ListLabel 1"/>
    <w:rPr>
      <w:rFonts w:cs="Times New Roman"/>
      <w:b/>
      <w:sz w:val="20"/>
      <w:szCs w:val="20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Times New Roman"/>
      <w:b/>
    </w:rPr>
  </w:style>
  <w:style w:type="character" w:customStyle="1" w:styleId="ListLabel4">
    <w:name w:val="ListLabel 4"/>
    <w:rPr>
      <w:rFonts w:cs="Times New Roman"/>
      <w:b/>
      <w:sz w:val="16"/>
      <w:szCs w:val="16"/>
    </w:rPr>
  </w:style>
  <w:style w:type="paragraph" w:styleId="Header">
    <w:name w:val="header"/>
    <w:basedOn w:val="Domylnie"/>
    <w:uiPriority w:val="99"/>
    <w:pPr>
      <w:suppressLineNumbers/>
      <w:tabs>
        <w:tab w:val="center" w:pos="4819"/>
        <w:tab w:val="right" w:pos="9638"/>
      </w:tabs>
    </w:pPr>
  </w:style>
  <w:style w:type="paragraph" w:customStyle="1" w:styleId="Tretekstu">
    <w:name w:val="Treść tekstu"/>
    <w:basedOn w:val="Domylnie"/>
    <w:pPr>
      <w:widowControl w:val="0"/>
      <w:spacing w:after="120"/>
    </w:pPr>
    <w:rPr>
      <w:rFonts w:eastAsia="Arial Unicode MS"/>
      <w:lang w:eastAsia="ar-SA"/>
    </w:rPr>
  </w:style>
  <w:style w:type="paragraph" w:styleId="List">
    <w:name w:val="List"/>
    <w:basedOn w:val="Tretekstu"/>
    <w:rPr>
      <w:rFonts w:cs="Mangal"/>
    </w:rPr>
  </w:style>
  <w:style w:type="paragraph" w:styleId="Signature">
    <w:name w:val="Signature"/>
    <w:basedOn w:val="Domylnie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Domylnie"/>
    <w:pPr>
      <w:suppressLineNumbers/>
    </w:pPr>
    <w:rPr>
      <w:rFonts w:cs="Mangal"/>
    </w:rPr>
  </w:style>
  <w:style w:type="paragraph" w:styleId="Footer">
    <w:name w:val="footer"/>
    <w:basedOn w:val="Domylnie"/>
    <w:pPr>
      <w:suppressLineNumbers/>
      <w:tabs>
        <w:tab w:val="center" w:pos="4536"/>
        <w:tab w:val="right" w:pos="9072"/>
      </w:tabs>
    </w:pPr>
  </w:style>
  <w:style w:type="paragraph" w:styleId="NormalWeb">
    <w:name w:val="Normal (Web)"/>
    <w:aliases w:val="Normalny (Web)1,Znak"/>
    <w:basedOn w:val="Domylnie"/>
    <w:uiPriority w:val="99"/>
    <w:qFormat/>
    <w:rPr>
      <w:rFonts w:ascii="Tahoma" w:hAnsi="Tahoma" w:cs="Tahoma"/>
      <w:sz w:val="17"/>
      <w:szCs w:val="17"/>
    </w:rPr>
  </w:style>
  <w:style w:type="paragraph" w:customStyle="1" w:styleId="Tekstpodstawowy21">
    <w:name w:val="Tekst podstawowy 21"/>
    <w:basedOn w:val="Domylnie"/>
    <w:pPr>
      <w:widowControl w:val="0"/>
      <w:jc w:val="both"/>
    </w:pPr>
    <w:rPr>
      <w:rFonts w:ascii="Arial" w:eastAsia="Arial Unicode MS" w:hAnsi="Arial" w:cs="Arial"/>
      <w:lang w:eastAsia="ar-SA"/>
    </w:rPr>
  </w:style>
  <w:style w:type="paragraph" w:styleId="BalloonText">
    <w:name w:val="Balloon Text"/>
    <w:basedOn w:val="Domylnie"/>
    <w:rPr>
      <w:rFonts w:ascii="Tahoma" w:hAnsi="Tahoma"/>
      <w:sz w:val="16"/>
      <w:szCs w:val="16"/>
    </w:rPr>
  </w:style>
  <w:style w:type="paragraph" w:styleId="EnvelopeAddress">
    <w:name w:val="envelope address"/>
    <w:basedOn w:val="Domylnie"/>
    <w:pPr>
      <w:ind w:left="2880"/>
    </w:pPr>
    <w:rPr>
      <w:rFonts w:ascii="Arial" w:hAnsi="Arial" w:cs="Arial"/>
    </w:rPr>
  </w:style>
  <w:style w:type="paragraph" w:customStyle="1" w:styleId="Teksttreci20">
    <w:name w:val="Tekst treści (2)"/>
    <w:basedOn w:val="Domylnie"/>
    <w:pPr>
      <w:widowControl w:val="0"/>
      <w:shd w:val="clear" w:color="auto" w:fill="FFFFFF"/>
      <w:spacing w:line="266" w:lineRule="exact"/>
      <w:ind w:hanging="360"/>
    </w:pPr>
    <w:rPr>
      <w:sz w:val="22"/>
      <w:szCs w:val="22"/>
    </w:rPr>
  </w:style>
  <w:style w:type="paragraph" w:styleId="BodyText">
    <w:name w:val="Body Text"/>
    <w:basedOn w:val="Normal"/>
    <w:link w:val="TekstpodstawowyZnak"/>
    <w:rsid w:val="00893D1F"/>
    <w:pPr>
      <w:widowControl w:val="0"/>
      <w:suppressAutoHyphens/>
      <w:spacing w:after="120" w:line="240" w:lineRule="auto"/>
    </w:pPr>
    <w:rPr>
      <w:rFonts w:eastAsia="Arial Unicode MS" w:cs="Times New Roman"/>
      <w:sz w:val="24"/>
      <w:lang w:eastAsia="ar-SA"/>
    </w:rPr>
  </w:style>
  <w:style w:type="character" w:customStyle="1" w:styleId="TekstpodstawowyZnak1">
    <w:name w:val="Tekst podstawowy Znak1"/>
    <w:basedOn w:val="DefaultParagraphFont"/>
    <w:uiPriority w:val="99"/>
    <w:semiHidden/>
    <w:rsid w:val="00893D1F"/>
  </w:style>
  <w:style w:type="character" w:styleId="CommentReference">
    <w:name w:val="annotation reference"/>
    <w:basedOn w:val="DefaultParagraphFont"/>
    <w:uiPriority w:val="99"/>
    <w:semiHidden/>
    <w:unhideWhenUsed/>
    <w:rsid w:val="002C13C8"/>
    <w:rPr>
      <w:sz w:val="16"/>
      <w:szCs w:val="16"/>
    </w:rPr>
  </w:style>
  <w:style w:type="paragraph" w:styleId="CommentText">
    <w:name w:val="annotation text"/>
    <w:basedOn w:val="Normal"/>
    <w:link w:val="TekstkomentarzaZnak"/>
    <w:uiPriority w:val="99"/>
    <w:semiHidden/>
    <w:unhideWhenUsed/>
    <w:rsid w:val="002C13C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efaultParagraphFont"/>
    <w:link w:val="CommentText"/>
    <w:uiPriority w:val="99"/>
    <w:semiHidden/>
    <w:rsid w:val="002C13C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TematkomentarzaZnak"/>
    <w:uiPriority w:val="99"/>
    <w:semiHidden/>
    <w:unhideWhenUsed/>
    <w:rsid w:val="002C13C8"/>
    <w:rPr>
      <w:b/>
      <w:bCs/>
    </w:rPr>
  </w:style>
  <w:style w:type="character" w:customStyle="1" w:styleId="TematkomentarzaZnak">
    <w:name w:val="Temat komentarza Znak"/>
    <w:basedOn w:val="TekstkomentarzaZnak"/>
    <w:link w:val="CommentSubject"/>
    <w:uiPriority w:val="99"/>
    <w:semiHidden/>
    <w:rsid w:val="002C13C8"/>
    <w:rPr>
      <w:b/>
      <w:bCs/>
      <w:sz w:val="20"/>
      <w:szCs w:val="20"/>
    </w:rPr>
  </w:style>
  <w:style w:type="character" w:customStyle="1" w:styleId="AkapitzlistZnak">
    <w:name w:val="Akapit z listą Znak"/>
    <w:aliases w:val="Akapit z listą31 Znak,BulletC Znak,Bullets Znak,Kolorowa lista — akcent 11 Znak,List Paragraph1 Znak,List Paragraph_0 Znak,Numerowanie Znak,Obiekt Znak,Wyliczanie Znak,Wypunktowanie Znak,normalny Znak,normalny tekst Znak"/>
    <w:link w:val="ListParagraph"/>
    <w:uiPriority w:val="34"/>
    <w:qFormat/>
    <w:locked/>
    <w:rsid w:val="00853834"/>
    <w:rPr>
      <w:rFonts w:ascii="Calibri" w:eastAsia="Calibri" w:hAnsi="Calibri" w:cs="Times New Roman"/>
      <w:lang w:eastAsia="en-US"/>
    </w:rPr>
  </w:style>
  <w:style w:type="paragraph" w:styleId="ListParagraph">
    <w:name w:val="List Paragraph"/>
    <w:aliases w:val="Akapit z listą31,BulletC,Bullets,Kolorowa lista — akcent 11,List Paragraph1,List Paragraph_0,Numerowanie,Obiekt,Wyliczanie,Wypunktowanie,normalny,normalny tekst"/>
    <w:basedOn w:val="Normal"/>
    <w:link w:val="AkapitzlistZnak"/>
    <w:uiPriority w:val="34"/>
    <w:qFormat/>
    <w:rsid w:val="00853834"/>
    <w:pPr>
      <w:spacing w:line="256" w:lineRule="auto"/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2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oleObject" Target="embeddings/oleObject1.bin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B2A04D-F10C-40AF-A775-6735C6282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501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budekk</dc:creator>
  <cp:lastModifiedBy>Lanczek Joanna</cp:lastModifiedBy>
  <cp:revision>15</cp:revision>
  <cp:lastPrinted>2019-10-07T12:31:00Z</cp:lastPrinted>
  <dcterms:created xsi:type="dcterms:W3CDTF">2024-07-25T11:03:00Z</dcterms:created>
  <dcterms:modified xsi:type="dcterms:W3CDTF">2024-09-27T12:23:00Z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-1950932088</vt:i4>
  </property>
</Properties>
</file>